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093B5C">
      <w:r>
        <w:rPr>
          <w:noProof/>
          <w:lang w:val="en-US"/>
        </w:rPr>
        <w:pict>
          <v:rect id="_x0000_s1089" style="position:absolute;margin-left:40.4pt;margin-top:-48.4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rsidP="00305756">
                  <w:pPr>
                    <w:jc w:val="center"/>
                    <w:rPr>
                      <w:color w:val="FFFFFF"/>
                      <w:sz w:val="48"/>
                      <w:szCs w:val="52"/>
                    </w:rPr>
                  </w:pPr>
                  <w:r>
                    <w:rPr>
                      <w:sz w:val="52"/>
                      <w:szCs w:val="52"/>
                      <w:lang w:val="en-US"/>
                    </w:rPr>
                    <w:t>201</w:t>
                  </w:r>
                  <w:r w:rsidR="00305756">
                    <w:rPr>
                      <w:sz w:val="52"/>
                      <w:szCs w:val="52"/>
                      <w:lang w:val="en-US"/>
                    </w:rPr>
                    <w:t>7</w:t>
                  </w:r>
                </w:p>
              </w:txbxContent>
            </v:textbox>
          </v:rect>
        </w:pict>
      </w:r>
      <w:r>
        <w:rPr>
          <w:noProof/>
          <w:lang w:val="en-US"/>
        </w:rPr>
        <w:pict>
          <v:rect id="_x0000_s1107" style="position:absolute;margin-left:-71.55pt;margin-top:-78.25pt;width:148.65pt;height:851.45pt;z-index:251652095" fillcolor="#eeece1 [3214]">
            <v:fill color2="#fcfcf9"/>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696AB3" w:rsidRPr="00696AB3" w:rsidRDefault="00696AB3">
                  <w:pPr>
                    <w:pStyle w:val="NoSpacing"/>
                    <w:rPr>
                      <w:color w:val="FFFFFF"/>
                      <w:sz w:val="80"/>
                      <w:szCs w:val="80"/>
                    </w:rPr>
                  </w:pPr>
                  <w:r>
                    <w:rPr>
                      <w:sz w:val="80"/>
                      <w:szCs w:val="80"/>
                    </w:rPr>
                    <w:t>The Inside Story Of The Annual Report: What Directors Must Know</w:t>
                  </w:r>
                </w:p>
                <w:p w:rsidR="00696AB3" w:rsidRDefault="00696AB3">
                  <w:pPr>
                    <w:pStyle w:val="NoSpacing"/>
                    <w:rPr>
                      <w:color w:val="FFFFFF"/>
                    </w:rPr>
                  </w:pPr>
                </w:p>
                <w:p w:rsidR="00254DA1" w:rsidRPr="00696AB3" w:rsidRDefault="00254DA1">
                  <w:pPr>
                    <w:pStyle w:val="NoSpacing"/>
                    <w:rPr>
                      <w:color w:val="FFFFFF"/>
                    </w:rPr>
                  </w:pPr>
                </w:p>
                <w:p w:rsidR="00696AB3" w:rsidRPr="00696AB3" w:rsidRDefault="0097354E" w:rsidP="00254DA1">
                  <w:pPr>
                    <w:pStyle w:val="NoSpacing"/>
                    <w:jc w:val="both"/>
                    <w:rPr>
                      <w:color w:val="FFFFFF"/>
                    </w:rPr>
                  </w:pPr>
                  <w:r w:rsidRPr="0097354E">
                    <w:t xml:space="preserve">Companies Annual Report (AR) provides information on the health of a public listed company to its shareholders, stakeholders, the media and the </w:t>
                  </w:r>
                  <w:r>
                    <w:t>s</w:t>
                  </w:r>
                  <w:r w:rsidRPr="0097354E">
                    <w:t>urrounding community. The ability to understand an AR can help you ensure that AR contains pertinent information not only for your company but also in compliance with the legal requirements by SC and Bursa.</w:t>
                  </w:r>
                </w:p>
              </w:txbxContent>
            </v:textbox>
          </v:rect>
        </w:pict>
      </w:r>
    </w:p>
    <w:p w:rsidR="00696AB3" w:rsidRDefault="00696AB3"/>
    <w:p w:rsidR="00D35263" w:rsidRDefault="00093B5C">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093B5C">
      <w:r w:rsidRPr="00093B5C">
        <w:rPr>
          <w:rFonts w:asciiTheme="minorHAnsi" w:hAnsiTheme="minorHAnsi"/>
          <w:noProof/>
          <w:lang w:val="en-US"/>
        </w:rPr>
        <w:lastRenderedPageBreak/>
        <w:pict>
          <v:roundrect id="_x0000_s1048" style="position:absolute;margin-left:251.75pt;margin-top:10.75pt;width:150.55pt;height:23.4pt;z-index:-251654144" arcsize="10923f">
            <v:shadow on="t" offset="3pt" offset2="2pt"/>
            <v:textbox>
              <w:txbxContent>
                <w:p w:rsidR="00BC3AD8" w:rsidRDefault="00BC3AD8">
                  <w:r>
                    <w:rPr>
                      <w:rFonts w:asciiTheme="minorHAnsi" w:hAnsiTheme="minorHAnsi"/>
                    </w:rPr>
                    <w:t>TARGET AUDIENCE</w:t>
                  </w:r>
                </w:p>
              </w:txbxContent>
            </v:textbox>
          </v:roundrect>
        </w:pict>
      </w:r>
    </w:p>
    <w:p w:rsidR="00B26841" w:rsidRPr="00B26841" w:rsidRDefault="00B26841" w:rsidP="003F6F40">
      <w:pPr>
        <w:rPr>
          <w:rFonts w:asciiTheme="minorHAnsi" w:hAnsiTheme="minorHAnsi"/>
        </w:rPr>
        <w:sectPr w:rsidR="00B26841" w:rsidRPr="00B26841" w:rsidSect="0041440F">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F6F40" w:rsidRPr="00B26841" w:rsidRDefault="00093B5C" w:rsidP="003F6F40">
      <w:pPr>
        <w:rPr>
          <w:rFonts w:asciiTheme="minorHAnsi" w:hAnsiTheme="minorHAnsi"/>
        </w:rPr>
      </w:pPr>
      <w:r>
        <w:rPr>
          <w:rFonts w:asciiTheme="minorHAnsi" w:hAnsiTheme="minorHAnsi"/>
          <w:noProof/>
          <w:lang w:val="en-US"/>
        </w:rPr>
        <w:lastRenderedPageBreak/>
        <w:pict>
          <v:roundrect id="_x0000_s1046" style="position:absolute;margin-left:-6.8pt;margin-top:-.5pt;width:150.55pt;height:23.4pt;z-index:-251656192" arcsize="10923f">
            <v:shadow on="t" offset="3pt" offset2="2pt"/>
            <v:textbox style="mso-next-textbox:#_x0000_s1046">
              <w:txbxContent>
                <w:p w:rsidR="00BC3AD8" w:rsidRDefault="00BC3AD8">
                  <w:r>
                    <w:rPr>
                      <w:rFonts w:asciiTheme="minorHAnsi" w:hAnsiTheme="minorHAnsi"/>
                    </w:rPr>
                    <w:t>COURSE OBJECTIVE</w:t>
                  </w:r>
                </w:p>
              </w:txbxContent>
            </v:textbox>
          </v:roundrect>
        </w:pict>
      </w:r>
    </w:p>
    <w:p w:rsidR="003F6F40" w:rsidRDefault="003F6F40" w:rsidP="003F6F40">
      <w:pPr>
        <w:rPr>
          <w:rFonts w:asciiTheme="minorHAnsi" w:hAnsiTheme="minorHAnsi"/>
        </w:rPr>
      </w:pPr>
    </w:p>
    <w:p w:rsidR="00BC3AD8" w:rsidRPr="00B26841" w:rsidRDefault="00BC3AD8" w:rsidP="003F6F40">
      <w:pPr>
        <w:rPr>
          <w:rFonts w:asciiTheme="minorHAnsi" w:hAnsiTheme="minorHAnsi"/>
        </w:rPr>
      </w:pPr>
    </w:p>
    <w:p w:rsidR="00F928D5" w:rsidRDefault="00F928D5" w:rsidP="00683D68">
      <w:pPr>
        <w:jc w:val="both"/>
        <w:rPr>
          <w:rFonts w:asciiTheme="minorHAnsi" w:hAnsiTheme="minorHAnsi"/>
        </w:rPr>
      </w:pPr>
      <w:r w:rsidRPr="00F928D5">
        <w:rPr>
          <w:rFonts w:asciiTheme="minorHAnsi" w:hAnsiTheme="minorHAnsi"/>
        </w:rPr>
        <w:t>Companies Annual Report (AR) provides information on the health of a public listed company to its</w:t>
      </w:r>
      <w:r>
        <w:rPr>
          <w:rFonts w:asciiTheme="minorHAnsi" w:hAnsiTheme="minorHAnsi"/>
        </w:rPr>
        <w:t xml:space="preserve"> </w:t>
      </w:r>
      <w:r w:rsidRPr="00F928D5">
        <w:rPr>
          <w:rFonts w:asciiTheme="minorHAnsi" w:hAnsiTheme="minorHAnsi"/>
        </w:rPr>
        <w:t>shareholders, stakeholders, the media and the surrounding community. The ability to understand an AR can</w:t>
      </w:r>
      <w:r>
        <w:rPr>
          <w:rFonts w:asciiTheme="minorHAnsi" w:hAnsiTheme="minorHAnsi"/>
        </w:rPr>
        <w:t xml:space="preserve"> </w:t>
      </w:r>
      <w:r w:rsidRPr="00F928D5">
        <w:rPr>
          <w:rFonts w:asciiTheme="minorHAnsi" w:hAnsiTheme="minorHAnsi"/>
        </w:rPr>
        <w:t>help you ensure that AR contains pertinent information not only for your company but also in compliance</w:t>
      </w:r>
      <w:r>
        <w:rPr>
          <w:rFonts w:asciiTheme="minorHAnsi" w:hAnsiTheme="minorHAnsi"/>
        </w:rPr>
        <w:t xml:space="preserve"> </w:t>
      </w:r>
      <w:r w:rsidRPr="00F928D5">
        <w:rPr>
          <w:rFonts w:asciiTheme="minorHAnsi" w:hAnsiTheme="minorHAnsi"/>
        </w:rPr>
        <w:t>with the legal requirements by SC and Bursa.</w:t>
      </w:r>
    </w:p>
    <w:p w:rsidR="00F928D5" w:rsidRPr="00F928D5" w:rsidRDefault="00F928D5" w:rsidP="00F928D5">
      <w:pPr>
        <w:rPr>
          <w:rFonts w:asciiTheme="minorHAnsi" w:hAnsiTheme="minorHAnsi"/>
        </w:rPr>
      </w:pPr>
    </w:p>
    <w:p w:rsidR="003F6F40" w:rsidRPr="00B26841" w:rsidRDefault="00BC79A7" w:rsidP="00683D68">
      <w:pPr>
        <w:jc w:val="both"/>
        <w:rPr>
          <w:rFonts w:asciiTheme="minorHAnsi" w:hAnsiTheme="minorHAnsi"/>
        </w:rPr>
      </w:pPr>
      <w:r>
        <w:rPr>
          <w:rFonts w:asciiTheme="minorHAnsi" w:hAnsiTheme="minorHAnsi"/>
        </w:rPr>
        <w:t>In addition to merely providing</w:t>
      </w:r>
      <w:r w:rsidR="00F928D5" w:rsidRPr="00F928D5">
        <w:rPr>
          <w:rFonts w:asciiTheme="minorHAnsi" w:hAnsiTheme="minorHAnsi"/>
        </w:rPr>
        <w:t xml:space="preserve"> financial information, an AR serves as </w:t>
      </w:r>
      <w:r>
        <w:rPr>
          <w:rFonts w:asciiTheme="minorHAnsi" w:hAnsiTheme="minorHAnsi"/>
        </w:rPr>
        <w:t xml:space="preserve">a </w:t>
      </w:r>
      <w:r w:rsidR="00F928D5" w:rsidRPr="00F928D5">
        <w:rPr>
          <w:rFonts w:asciiTheme="minorHAnsi" w:hAnsiTheme="minorHAnsi"/>
        </w:rPr>
        <w:t>marketing tool for every company. It</w:t>
      </w:r>
      <w:r w:rsidR="00F928D5">
        <w:rPr>
          <w:rFonts w:asciiTheme="minorHAnsi" w:hAnsiTheme="minorHAnsi"/>
        </w:rPr>
        <w:t xml:space="preserve"> </w:t>
      </w:r>
      <w:r w:rsidR="00F928D5" w:rsidRPr="00F928D5">
        <w:rPr>
          <w:rFonts w:asciiTheme="minorHAnsi" w:hAnsiTheme="minorHAnsi"/>
        </w:rPr>
        <w:t>promotes company historical milestone an</w:t>
      </w:r>
      <w:r>
        <w:rPr>
          <w:rFonts w:asciiTheme="minorHAnsi" w:hAnsiTheme="minorHAnsi"/>
        </w:rPr>
        <w:t>d the inclusion of success stories</w:t>
      </w:r>
      <w:r w:rsidR="00F928D5" w:rsidRPr="00F928D5">
        <w:rPr>
          <w:rFonts w:asciiTheme="minorHAnsi" w:hAnsiTheme="minorHAnsi"/>
        </w:rPr>
        <w:t xml:space="preserve"> from customers and employees or</w:t>
      </w:r>
      <w:r w:rsidR="00F928D5">
        <w:rPr>
          <w:rFonts w:asciiTheme="minorHAnsi" w:hAnsiTheme="minorHAnsi"/>
        </w:rPr>
        <w:t xml:space="preserve"> </w:t>
      </w:r>
      <w:r w:rsidR="00F928D5" w:rsidRPr="00F928D5">
        <w:rPr>
          <w:rFonts w:asciiTheme="minorHAnsi" w:hAnsiTheme="minorHAnsi"/>
        </w:rPr>
        <w:t>key achievement moment</w:t>
      </w:r>
      <w:r>
        <w:rPr>
          <w:rFonts w:asciiTheme="minorHAnsi" w:hAnsiTheme="minorHAnsi"/>
        </w:rPr>
        <w:t>s</w:t>
      </w:r>
      <w:r w:rsidR="00F928D5" w:rsidRPr="00F928D5">
        <w:rPr>
          <w:rFonts w:asciiTheme="minorHAnsi" w:hAnsiTheme="minorHAnsi"/>
        </w:rPr>
        <w:t xml:space="preserve"> in the company could certainly appeal to attract new and more investors and</w:t>
      </w:r>
      <w:r w:rsidR="00F928D5">
        <w:rPr>
          <w:rFonts w:asciiTheme="minorHAnsi" w:hAnsiTheme="minorHAnsi"/>
        </w:rPr>
        <w:t xml:space="preserve"> </w:t>
      </w:r>
      <w:r w:rsidR="00F928D5" w:rsidRPr="00F928D5">
        <w:rPr>
          <w:rFonts w:asciiTheme="minorHAnsi" w:hAnsiTheme="minorHAnsi"/>
        </w:rPr>
        <w:t>customers.</w:t>
      </w:r>
    </w:p>
    <w:p w:rsidR="003F6F40" w:rsidRPr="00B26841" w:rsidRDefault="003F6F40" w:rsidP="003F6F40">
      <w:pPr>
        <w:rPr>
          <w:rFonts w:asciiTheme="minorHAnsi" w:hAnsiTheme="minorHAnsi"/>
        </w:rPr>
      </w:pPr>
    </w:p>
    <w:p w:rsidR="003F6F40" w:rsidRPr="00B26841" w:rsidRDefault="00093B5C" w:rsidP="003F6F40">
      <w:pPr>
        <w:rPr>
          <w:rFonts w:asciiTheme="minorHAnsi" w:hAnsiTheme="minorHAnsi"/>
        </w:rPr>
      </w:pPr>
      <w:r>
        <w:rPr>
          <w:rFonts w:asciiTheme="minorHAnsi" w:hAnsiTheme="minorHAnsi"/>
          <w:noProof/>
          <w:lang w:val="en-US"/>
        </w:rPr>
        <w:pict>
          <v:roundrect id="_x0000_s1049" style="position:absolute;margin-left:-6.8pt;margin-top:2.3pt;width:150.55pt;height:23.4pt;z-index:-251653120" arcsize="10923f">
            <v:shadow on="t" offset="3pt" offset2="2pt"/>
            <v:textbox style="mso-next-textbox:#_x0000_s1049">
              <w:txbxContent>
                <w:p w:rsidR="00BC3AD8" w:rsidRDefault="00BC3AD8">
                  <w:r>
                    <w:rPr>
                      <w:rFonts w:asciiTheme="minorHAnsi" w:hAnsiTheme="minorHAnsi"/>
                    </w:rPr>
                    <w:t>COURSE CONTENT</w:t>
                  </w:r>
                </w:p>
              </w:txbxContent>
            </v:textbox>
          </v:roundrect>
        </w:pict>
      </w:r>
    </w:p>
    <w:p w:rsidR="003F6F40" w:rsidRDefault="003F6F40" w:rsidP="003F6F40">
      <w:pPr>
        <w:rPr>
          <w:rFonts w:asciiTheme="minorHAnsi" w:hAnsiTheme="minorHAnsi"/>
        </w:rPr>
      </w:pPr>
    </w:p>
    <w:p w:rsidR="00BC3AD8" w:rsidRPr="00B26841" w:rsidRDefault="00BC3AD8" w:rsidP="003F6F40">
      <w:pPr>
        <w:rPr>
          <w:rFonts w:asciiTheme="minorHAnsi" w:hAnsiTheme="minorHAnsi"/>
        </w:rPr>
      </w:pPr>
    </w:p>
    <w:p w:rsidR="00F928D5" w:rsidRPr="00F928D5" w:rsidRDefault="00F928D5" w:rsidP="00F928D5">
      <w:pPr>
        <w:rPr>
          <w:rFonts w:asciiTheme="minorHAnsi" w:hAnsiTheme="minorHAnsi"/>
        </w:rPr>
      </w:pPr>
      <w:r w:rsidRPr="00F928D5">
        <w:rPr>
          <w:rFonts w:asciiTheme="minorHAnsi" w:hAnsiTheme="minorHAnsi"/>
        </w:rPr>
        <w:t>Topics to be covered include:</w:t>
      </w:r>
    </w:p>
    <w:p w:rsidR="00F928D5" w:rsidRPr="00F928D5" w:rsidRDefault="00F928D5" w:rsidP="005234A8">
      <w:pPr>
        <w:numPr>
          <w:ilvl w:val="0"/>
          <w:numId w:val="1"/>
        </w:numPr>
        <w:ind w:left="426" w:hanging="426"/>
        <w:rPr>
          <w:rFonts w:asciiTheme="minorHAnsi" w:hAnsiTheme="minorHAnsi"/>
        </w:rPr>
      </w:pPr>
      <w:r w:rsidRPr="00F928D5">
        <w:rPr>
          <w:rFonts w:asciiTheme="minorHAnsi" w:hAnsiTheme="minorHAnsi"/>
        </w:rPr>
        <w:t>The functions and objective of AR</w:t>
      </w:r>
    </w:p>
    <w:p w:rsidR="00F928D5" w:rsidRPr="00F928D5" w:rsidRDefault="00F928D5" w:rsidP="005234A8">
      <w:pPr>
        <w:numPr>
          <w:ilvl w:val="0"/>
          <w:numId w:val="1"/>
        </w:numPr>
        <w:ind w:left="426" w:hanging="426"/>
        <w:rPr>
          <w:rFonts w:asciiTheme="minorHAnsi" w:hAnsiTheme="minorHAnsi"/>
        </w:rPr>
      </w:pPr>
      <w:r w:rsidRPr="00F928D5">
        <w:rPr>
          <w:rFonts w:asciiTheme="minorHAnsi" w:hAnsiTheme="minorHAnsi"/>
        </w:rPr>
        <w:t>The Securities Commission and Bursa Listing Requirements relating to AR</w:t>
      </w:r>
    </w:p>
    <w:p w:rsidR="00D90843" w:rsidRDefault="00F928D5" w:rsidP="005234A8">
      <w:pPr>
        <w:numPr>
          <w:ilvl w:val="0"/>
          <w:numId w:val="1"/>
        </w:numPr>
        <w:ind w:left="426" w:hanging="426"/>
        <w:rPr>
          <w:rFonts w:asciiTheme="minorHAnsi" w:hAnsiTheme="minorHAnsi"/>
        </w:rPr>
      </w:pPr>
      <w:r w:rsidRPr="00F928D5">
        <w:rPr>
          <w:rFonts w:asciiTheme="minorHAnsi" w:hAnsiTheme="minorHAnsi"/>
        </w:rPr>
        <w:t>The compulsory elements that must be included in every AR</w:t>
      </w:r>
    </w:p>
    <w:p w:rsidR="00F928D5" w:rsidRDefault="00F928D5" w:rsidP="005234A8">
      <w:pPr>
        <w:numPr>
          <w:ilvl w:val="0"/>
          <w:numId w:val="2"/>
        </w:numPr>
        <w:ind w:left="709" w:hanging="283"/>
        <w:rPr>
          <w:rFonts w:asciiTheme="minorHAnsi" w:hAnsiTheme="minorHAnsi"/>
        </w:rPr>
      </w:pPr>
      <w:r w:rsidRPr="00F928D5">
        <w:rPr>
          <w:rFonts w:asciiTheme="minorHAnsi" w:hAnsiTheme="minorHAnsi"/>
        </w:rPr>
        <w:t>8 principles &amp; recommendations of</w:t>
      </w:r>
      <w:r>
        <w:rPr>
          <w:rFonts w:asciiTheme="minorHAnsi" w:hAnsiTheme="minorHAnsi"/>
        </w:rPr>
        <w:t xml:space="preserve"> </w:t>
      </w:r>
      <w:r w:rsidRPr="00F928D5">
        <w:rPr>
          <w:rFonts w:asciiTheme="minorHAnsi" w:hAnsiTheme="minorHAnsi"/>
        </w:rPr>
        <w:t>Malaysia Co</w:t>
      </w:r>
      <w:r>
        <w:rPr>
          <w:rFonts w:asciiTheme="minorHAnsi" w:hAnsiTheme="minorHAnsi"/>
        </w:rPr>
        <w:t>de of Corporate Governance 2012</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Roles &amp; responsibilities</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Composition</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Independence</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Commitment</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Financial Reporting</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Manage risk</w:t>
      </w:r>
    </w:p>
    <w:p w:rsidR="00F928D5" w:rsidRPr="00F928D5" w:rsidRDefault="00F928D5" w:rsidP="005234A8">
      <w:pPr>
        <w:numPr>
          <w:ilvl w:val="0"/>
          <w:numId w:val="3"/>
        </w:numPr>
        <w:ind w:left="1134" w:hanging="283"/>
        <w:rPr>
          <w:rFonts w:asciiTheme="minorHAnsi" w:hAnsiTheme="minorHAnsi"/>
        </w:rPr>
      </w:pPr>
      <w:r w:rsidRPr="00F928D5">
        <w:rPr>
          <w:rFonts w:asciiTheme="minorHAnsi" w:hAnsiTheme="minorHAnsi"/>
        </w:rPr>
        <w:t>Time &amp; quality disclosure</w:t>
      </w:r>
    </w:p>
    <w:p w:rsidR="00F928D5" w:rsidRPr="00B26841" w:rsidRDefault="00F928D5" w:rsidP="005234A8">
      <w:pPr>
        <w:numPr>
          <w:ilvl w:val="0"/>
          <w:numId w:val="3"/>
        </w:numPr>
        <w:ind w:left="1134" w:hanging="283"/>
        <w:rPr>
          <w:rFonts w:asciiTheme="minorHAnsi" w:hAnsiTheme="minorHAnsi"/>
        </w:rPr>
      </w:pPr>
      <w:r w:rsidRPr="00F928D5">
        <w:rPr>
          <w:rFonts w:asciiTheme="minorHAnsi" w:hAnsiTheme="minorHAnsi"/>
        </w:rPr>
        <w:t>Relationship between shareholders</w:t>
      </w:r>
    </w:p>
    <w:p w:rsidR="00B26841" w:rsidRDefault="00B26841" w:rsidP="003F6F40">
      <w:pPr>
        <w:rPr>
          <w:rFonts w:asciiTheme="minorHAnsi" w:hAnsiTheme="minorHAnsi"/>
        </w:rPr>
      </w:pPr>
    </w:p>
    <w:p w:rsidR="00C97D66" w:rsidRDefault="00C97D66" w:rsidP="003F6F40">
      <w:pPr>
        <w:rPr>
          <w:rFonts w:asciiTheme="minorHAnsi" w:hAnsiTheme="minorHAnsi"/>
        </w:rPr>
      </w:pPr>
    </w:p>
    <w:p w:rsidR="003F6F40" w:rsidRPr="00B26841" w:rsidRDefault="003F6F40" w:rsidP="003F6F40">
      <w:pPr>
        <w:rPr>
          <w:rFonts w:asciiTheme="minorHAnsi" w:hAnsiTheme="minorHAnsi"/>
        </w:rPr>
      </w:pPr>
    </w:p>
    <w:p w:rsidR="003F6F40" w:rsidRPr="00B26841" w:rsidRDefault="003F6F40" w:rsidP="003F6F40">
      <w:pPr>
        <w:rPr>
          <w:rFonts w:asciiTheme="minorHAnsi" w:hAnsiTheme="minorHAnsi"/>
        </w:rPr>
      </w:pPr>
    </w:p>
    <w:p w:rsidR="00BC3AD8" w:rsidRDefault="00BC3AD8" w:rsidP="00F928D5">
      <w:pPr>
        <w:rPr>
          <w:rFonts w:asciiTheme="minorHAnsi" w:hAnsiTheme="minorHAnsi"/>
        </w:rPr>
      </w:pPr>
    </w:p>
    <w:p w:rsidR="00BC3AD8" w:rsidRDefault="00BC3AD8" w:rsidP="00F928D5">
      <w:pPr>
        <w:rPr>
          <w:rFonts w:asciiTheme="minorHAnsi" w:hAnsiTheme="minorHAnsi"/>
        </w:rPr>
      </w:pPr>
    </w:p>
    <w:p w:rsidR="003F6F40" w:rsidRPr="00B26841" w:rsidRDefault="00F928D5" w:rsidP="00F928D5">
      <w:pPr>
        <w:rPr>
          <w:rFonts w:asciiTheme="minorHAnsi" w:hAnsiTheme="minorHAnsi"/>
        </w:rPr>
      </w:pPr>
      <w:r w:rsidRPr="00F928D5">
        <w:rPr>
          <w:rFonts w:asciiTheme="minorHAnsi" w:hAnsiTheme="minorHAnsi"/>
        </w:rPr>
        <w:t>Directors, Accountants, Corporate Secretaries</w:t>
      </w:r>
    </w:p>
    <w:p w:rsidR="003F6F40" w:rsidRPr="00B26841" w:rsidRDefault="003F6F40" w:rsidP="003F6F40">
      <w:pPr>
        <w:rPr>
          <w:rFonts w:asciiTheme="minorHAnsi" w:hAnsiTheme="minorHAnsi"/>
        </w:rPr>
      </w:pPr>
    </w:p>
    <w:p w:rsidR="003F6F40" w:rsidRPr="00B26841" w:rsidRDefault="00093B5C" w:rsidP="003F6F40">
      <w:pPr>
        <w:rPr>
          <w:rFonts w:asciiTheme="minorHAnsi" w:hAnsiTheme="minorHAnsi"/>
        </w:rPr>
      </w:pPr>
      <w:r>
        <w:rPr>
          <w:rFonts w:asciiTheme="minorHAnsi" w:hAnsiTheme="minorHAnsi"/>
          <w:noProof/>
          <w:lang w:val="en-US"/>
        </w:rPr>
        <w:pict>
          <v:roundrect id="_x0000_s1050" style="position:absolute;margin-left:-6.05pt;margin-top:5.25pt;width:150.55pt;height:23.4pt;z-index:-251652096" arcsize="10923f">
            <v:shadow on="t" offset="3pt" offset2="2pt"/>
            <v:textbox style="mso-next-textbox:#_x0000_s1050">
              <w:txbxContent>
                <w:p w:rsidR="00BC3AD8" w:rsidRDefault="00BC3AD8">
                  <w:r w:rsidRPr="00B26841">
                    <w:rPr>
                      <w:rFonts w:asciiTheme="minorHAnsi" w:hAnsiTheme="minorHAnsi"/>
                    </w:rPr>
                    <w:t>METHODOLOGY</w:t>
                  </w:r>
                </w:p>
              </w:txbxContent>
            </v:textbox>
          </v:roundrect>
        </w:pict>
      </w:r>
    </w:p>
    <w:p w:rsidR="003F6F40" w:rsidRDefault="003F6F40" w:rsidP="003F6F40">
      <w:pPr>
        <w:rPr>
          <w:rFonts w:asciiTheme="minorHAnsi" w:hAnsiTheme="minorHAnsi"/>
        </w:rPr>
      </w:pPr>
    </w:p>
    <w:p w:rsidR="00BC3AD8" w:rsidRPr="00B26841" w:rsidRDefault="00BC3AD8" w:rsidP="003F6F40">
      <w:pPr>
        <w:rPr>
          <w:rFonts w:asciiTheme="minorHAnsi" w:hAnsiTheme="minorHAnsi"/>
        </w:rPr>
      </w:pPr>
    </w:p>
    <w:p w:rsidR="00B26841" w:rsidRDefault="003F6F40">
      <w:pPr>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p>
    <w:p w:rsidR="00BC3AD8" w:rsidRDefault="00BC3AD8">
      <w:pPr>
        <w:rPr>
          <w:rFonts w:asciiTheme="minorHAnsi" w:hAnsiTheme="minorHAnsi"/>
        </w:rPr>
      </w:pPr>
    </w:p>
    <w:p w:rsidR="00B26841" w:rsidRDefault="00093B5C">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style="mso-next-textbox:#_x0000_s1051">
              <w:txbxContent>
                <w:p w:rsidR="00BC3AD8" w:rsidRPr="00B26841" w:rsidRDefault="00BC3AD8" w:rsidP="00BC3AD8">
                  <w:pPr>
                    <w:rPr>
                      <w:rFonts w:asciiTheme="minorHAnsi" w:hAnsiTheme="minorHAnsi"/>
                    </w:rPr>
                  </w:pPr>
                  <w:r>
                    <w:rPr>
                      <w:rFonts w:asciiTheme="minorHAnsi" w:hAnsiTheme="minorHAnsi"/>
                    </w:rPr>
                    <w:t>ADMINISTRATIVE DETAILS</w:t>
                  </w:r>
                </w:p>
                <w:p w:rsidR="00BC3AD8" w:rsidRDefault="00BC3AD8"/>
              </w:txbxContent>
            </v:textbox>
          </v:roundrect>
        </w:pict>
      </w:r>
    </w:p>
    <w:p w:rsidR="00B26841" w:rsidRDefault="00B26841">
      <w:pPr>
        <w:rPr>
          <w:rFonts w:asciiTheme="minorHAnsi" w:hAnsiTheme="minorHAnsi"/>
        </w:rPr>
      </w:pPr>
    </w:p>
    <w:p w:rsidR="00BC3AD8" w:rsidRDefault="00BC3AD8">
      <w:pPr>
        <w:rPr>
          <w:rFonts w:asciiTheme="minorHAnsi" w:hAnsiTheme="minorHAnsi"/>
        </w:rPr>
      </w:pPr>
    </w:p>
    <w:p w:rsidR="00BC3AD8" w:rsidRDefault="00BC3AD8">
      <w:pPr>
        <w:rPr>
          <w:rFonts w:asciiTheme="minorHAnsi" w:hAnsiTheme="minorHAnsi"/>
        </w:rPr>
      </w:pPr>
    </w:p>
    <w:tbl>
      <w:tblPr>
        <w:tblW w:w="5095" w:type="dxa"/>
        <w:shd w:val="pct10" w:color="auto" w:fill="auto"/>
        <w:tblLayout w:type="fixed"/>
        <w:tblCellMar>
          <w:top w:w="29" w:type="dxa"/>
          <w:left w:w="115" w:type="dxa"/>
          <w:bottom w:w="29" w:type="dxa"/>
          <w:right w:w="115" w:type="dxa"/>
        </w:tblCellMar>
        <w:tblLook w:val="04A0"/>
      </w:tblPr>
      <w:tblGrid>
        <w:gridCol w:w="1723"/>
        <w:gridCol w:w="292"/>
        <w:gridCol w:w="3080"/>
      </w:tblGrid>
      <w:tr w:rsidR="00D90843" w:rsidRPr="00D90843" w:rsidTr="0086132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86132E" w:rsidRPr="0086132E" w:rsidRDefault="0086132E" w:rsidP="00305756">
            <w:pPr>
              <w:ind w:right="308"/>
              <w:rPr>
                <w:rFonts w:asciiTheme="minorHAnsi" w:hAnsiTheme="minorHAnsi" w:cs="Segoe UI Semibold"/>
                <w:sz w:val="20"/>
                <w:u w:val="single"/>
              </w:rPr>
            </w:pPr>
            <w:r w:rsidRPr="0086132E">
              <w:rPr>
                <w:rFonts w:asciiTheme="minorHAnsi" w:hAnsiTheme="minorHAnsi" w:cs="Segoe UI Semibold"/>
                <w:sz w:val="20"/>
                <w:u w:val="single"/>
              </w:rPr>
              <w:t>Year 2017</w:t>
            </w:r>
          </w:p>
          <w:p w:rsidR="0086132E" w:rsidRDefault="0086132E" w:rsidP="00305756">
            <w:pPr>
              <w:ind w:right="308"/>
              <w:rPr>
                <w:rFonts w:asciiTheme="minorHAnsi" w:hAnsiTheme="minorHAnsi" w:cs="Segoe UI Semibold"/>
                <w:sz w:val="20"/>
              </w:rPr>
            </w:pPr>
            <w:r>
              <w:rPr>
                <w:rFonts w:asciiTheme="minorHAnsi" w:hAnsiTheme="minorHAnsi" w:cs="Segoe UI Semibold"/>
                <w:sz w:val="20"/>
              </w:rPr>
              <w:t>22 Feb / 22 Mar</w:t>
            </w:r>
          </w:p>
          <w:p w:rsidR="00305756" w:rsidRDefault="0086132E" w:rsidP="00305756">
            <w:pPr>
              <w:ind w:right="308"/>
              <w:rPr>
                <w:rFonts w:asciiTheme="minorHAnsi" w:hAnsiTheme="minorHAnsi" w:cs="Segoe UI Semibold"/>
                <w:sz w:val="20"/>
              </w:rPr>
            </w:pPr>
            <w:r>
              <w:rPr>
                <w:rFonts w:asciiTheme="minorHAnsi" w:hAnsiTheme="minorHAnsi" w:cs="Segoe UI Semibold"/>
                <w:sz w:val="20"/>
              </w:rPr>
              <w:t>10 Apr / 24</w:t>
            </w:r>
            <w:r w:rsidR="00305756">
              <w:rPr>
                <w:rFonts w:asciiTheme="minorHAnsi" w:hAnsiTheme="minorHAnsi" w:cs="Segoe UI Semibold"/>
                <w:sz w:val="20"/>
              </w:rPr>
              <w:t xml:space="preserve"> Apr</w:t>
            </w:r>
          </w:p>
          <w:p w:rsidR="00D90843" w:rsidRPr="00D90843" w:rsidRDefault="0086132E" w:rsidP="0086132E">
            <w:pPr>
              <w:ind w:right="308"/>
              <w:rPr>
                <w:rFonts w:asciiTheme="minorHAnsi" w:hAnsiTheme="minorHAnsi" w:cs="Segoe UI Semibold"/>
                <w:sz w:val="20"/>
              </w:rPr>
            </w:pPr>
            <w:r>
              <w:rPr>
                <w:rFonts w:asciiTheme="minorHAnsi" w:hAnsiTheme="minorHAnsi" w:cs="Segoe UI Semibold"/>
                <w:sz w:val="20"/>
              </w:rPr>
              <w:t>15 May / 13</w:t>
            </w:r>
            <w:r w:rsidR="00305756">
              <w:rPr>
                <w:rFonts w:asciiTheme="minorHAnsi" w:hAnsiTheme="minorHAnsi" w:cs="Segoe UI Semibold"/>
                <w:sz w:val="20"/>
              </w:rPr>
              <w:t xml:space="preserve"> Jun</w:t>
            </w:r>
          </w:p>
        </w:tc>
      </w:tr>
      <w:tr w:rsidR="00D90843" w:rsidRPr="00D90843" w:rsidTr="0086132E">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3B0EDD" w:rsidP="003954D3">
            <w:pPr>
              <w:ind w:right="308"/>
              <w:jc w:val="both"/>
              <w:rPr>
                <w:rFonts w:asciiTheme="minorHAnsi" w:hAnsiTheme="minorHAnsi" w:cs="Segoe UI Semibold"/>
                <w:sz w:val="20"/>
              </w:rPr>
            </w:pPr>
            <w:r>
              <w:rPr>
                <w:rFonts w:asciiTheme="minorHAnsi" w:hAnsiTheme="minorHAnsi" w:cs="Segoe UI Semibold"/>
                <w:sz w:val="20"/>
              </w:rPr>
              <w:t>13</w:t>
            </w:r>
            <w:r w:rsidR="000D57B6">
              <w:rPr>
                <w:rFonts w:asciiTheme="minorHAnsi" w:hAnsiTheme="minorHAnsi" w:cs="Segoe UI Semibold"/>
                <w:sz w:val="20"/>
              </w:rPr>
              <w:t>00 – 1</w:t>
            </w:r>
            <w:r>
              <w:rPr>
                <w:rFonts w:asciiTheme="minorHAnsi" w:hAnsiTheme="minorHAnsi" w:cs="Segoe UI Semibold"/>
                <w:sz w:val="20"/>
              </w:rPr>
              <w:t>7</w:t>
            </w:r>
            <w:r w:rsidR="00D90843" w:rsidRPr="00D90843">
              <w:rPr>
                <w:rFonts w:asciiTheme="minorHAnsi" w:hAnsiTheme="minorHAnsi" w:cs="Segoe UI Semibold"/>
                <w:sz w:val="20"/>
              </w:rPr>
              <w:t>00</w:t>
            </w:r>
            <w:r w:rsidR="003954D3">
              <w:rPr>
                <w:rFonts w:asciiTheme="minorHAnsi" w:hAnsiTheme="minorHAnsi" w:cs="Segoe UI Semibold"/>
                <w:sz w:val="20"/>
              </w:rPr>
              <w:t xml:space="preserve"> hours</w:t>
            </w:r>
            <w:r w:rsidR="00AB1B95">
              <w:rPr>
                <w:rFonts w:asciiTheme="minorHAnsi" w:hAnsiTheme="minorHAnsi" w:cs="Segoe UI Semibold"/>
                <w:sz w:val="20"/>
              </w:rPr>
              <w:t xml:space="preserve"> (p.m.)</w:t>
            </w:r>
          </w:p>
        </w:tc>
      </w:tr>
      <w:tr w:rsidR="00D90843" w:rsidRPr="00D90843" w:rsidTr="0086132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86132E" w:rsidP="00D102CC">
            <w:pPr>
              <w:ind w:right="308"/>
              <w:jc w:val="both"/>
              <w:rPr>
                <w:rFonts w:asciiTheme="minorHAnsi" w:hAnsiTheme="minorHAnsi" w:cs="Segoe UI Semibold"/>
                <w:sz w:val="20"/>
              </w:rPr>
            </w:pPr>
            <w:r>
              <w:rPr>
                <w:rFonts w:asciiTheme="minorHAnsi" w:hAnsiTheme="minorHAnsi" w:cs="Segoe UI Semibold"/>
                <w:sz w:val="20"/>
              </w:rPr>
              <w:t xml:space="preserve">Kuala Lumpur / </w:t>
            </w:r>
            <w:r w:rsidR="00EA7166">
              <w:rPr>
                <w:rFonts w:asciiTheme="minorHAnsi" w:hAnsiTheme="minorHAnsi" w:cs="Segoe UI Semibold"/>
                <w:sz w:val="20"/>
              </w:rPr>
              <w:t>Petaling Jaya</w:t>
            </w:r>
          </w:p>
        </w:tc>
      </w:tr>
      <w:tr w:rsidR="00D90843" w:rsidRPr="00D90843" w:rsidTr="0086132E">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65397">
            <w:pPr>
              <w:ind w:right="308"/>
              <w:jc w:val="both"/>
              <w:rPr>
                <w:rFonts w:asciiTheme="minorHAnsi" w:hAnsiTheme="minorHAnsi" w:cs="Segoe UI Semibold"/>
                <w:sz w:val="20"/>
              </w:rPr>
            </w:pPr>
            <w:r w:rsidRPr="00D90843">
              <w:rPr>
                <w:rFonts w:asciiTheme="minorHAnsi" w:hAnsiTheme="minorHAnsi" w:cs="Segoe UI Semibold"/>
                <w:sz w:val="20"/>
              </w:rPr>
              <w:t>RM</w:t>
            </w:r>
            <w:r w:rsidR="00165397">
              <w:rPr>
                <w:rFonts w:asciiTheme="minorHAnsi" w:hAnsiTheme="minorHAnsi" w:cs="Segoe UI Semibold"/>
                <w:sz w:val="20"/>
              </w:rPr>
              <w:t>932.8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86132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093B5C">
      <w:pPr>
        <w:rPr>
          <w:rFonts w:asciiTheme="minorHAnsi" w:hAnsiTheme="minorHAnsi"/>
        </w:rPr>
      </w:pPr>
      <w:r>
        <w:rPr>
          <w:rFonts w:asciiTheme="minorHAnsi" w:hAnsiTheme="minorHAnsi"/>
          <w:noProof/>
          <w:lang w:val="en-US"/>
        </w:rPr>
        <w:pict>
          <v:roundrect id="_x0000_s1130" style="position:absolute;margin-left:1.1pt;margin-top:3.75pt;width:248.55pt;height:79.6pt;z-index:251745280" arcsize="10923f" fillcolor="white [3201]" strokecolor="#f79646 [3209]" strokeweight="2.5pt">
            <v:shadow color="#868686"/>
            <v:textbox style="mso-next-textbox:#_x0000_s1130">
              <w:txbxContent>
                <w:p w:rsidR="00BC3AD8" w:rsidRPr="00254DA1" w:rsidRDefault="00BC3AD8" w:rsidP="00BC3AD8">
                  <w:pPr>
                    <w:ind w:left="284"/>
                    <w:jc w:val="both"/>
                    <w:rPr>
                      <w:rFonts w:asciiTheme="minorHAnsi" w:hAnsiTheme="minorHAnsi"/>
                      <w:i/>
                      <w:sz w:val="20"/>
                    </w:rPr>
                  </w:pPr>
                  <w:r w:rsidRPr="00254DA1">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BC3AD8" w:rsidRPr="00254DA1" w:rsidRDefault="00BC3AD8" w:rsidP="00BC3AD8">
                  <w:pPr>
                    <w:rPr>
                      <w:sz w:val="20"/>
                    </w:rPr>
                  </w:pP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254DA1" w:rsidRDefault="00254DA1">
      <w:pPr>
        <w:rPr>
          <w:rFonts w:asciiTheme="minorHAnsi" w:hAnsiTheme="minorHAnsi"/>
        </w:rPr>
      </w:pPr>
    </w:p>
    <w:p w:rsidR="00254DA1" w:rsidRDefault="0086132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84.5pt;margin-top:.25pt;width:1in;height:55.85pt;z-index:251657216"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A5263F" w:rsidRPr="00B37990" w:rsidRDefault="00F13F77"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254DA1" w:rsidRDefault="00254DA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807E9" w:rsidRPr="00B26841" w:rsidRDefault="006807E9">
      <w:pPr>
        <w:rPr>
          <w:rFonts w:asciiTheme="minorHAnsi" w:hAnsiTheme="minorHAnsi"/>
        </w:rPr>
        <w:sectPr w:rsidR="006807E9" w:rsidRPr="00B26841" w:rsidSect="00305756">
          <w:type w:val="continuous"/>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3F6F40" w:rsidRDefault="003F6F40"/>
    <w:p w:rsidR="00D90843" w:rsidRDefault="00D90843" w:rsidP="00D90843">
      <w:pPr>
        <w:rPr>
          <w:rFonts w:asciiTheme="minorHAnsi" w:hAnsiTheme="minorHAnsi"/>
        </w:rPr>
        <w:sectPr w:rsidR="00D90843" w:rsidSect="0030575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90843" w:rsidRPr="00D90843" w:rsidRDefault="00D90843" w:rsidP="000B2E94">
      <w:pPr>
        <w:ind w:left="-709"/>
        <w:rPr>
          <w:rFonts w:asciiTheme="minorHAnsi" w:hAnsiTheme="minorHAnsi"/>
        </w:rPr>
      </w:pPr>
    </w:p>
    <w:p w:rsidR="00D90843" w:rsidRDefault="00D90843"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254DA1" w:rsidRDefault="00254DA1" w:rsidP="00683D68">
      <w:pPr>
        <w:jc w:val="both"/>
        <w:rPr>
          <w:rFonts w:asciiTheme="minorHAnsi" w:hAnsiTheme="minorHAnsi"/>
        </w:rPr>
      </w:pPr>
    </w:p>
    <w:p w:rsidR="00254DA1" w:rsidRDefault="00254DA1" w:rsidP="00683D68">
      <w:pPr>
        <w:jc w:val="both"/>
        <w:rPr>
          <w:rFonts w:asciiTheme="minorHAnsi" w:hAnsiTheme="minorHAnsi"/>
        </w:rPr>
      </w:pPr>
    </w:p>
    <w:p w:rsidR="00254DA1" w:rsidRDefault="00254DA1" w:rsidP="00683D68">
      <w:pPr>
        <w:jc w:val="both"/>
        <w:rPr>
          <w:rFonts w:asciiTheme="minorHAnsi" w:hAnsiTheme="minorHAnsi"/>
        </w:rPr>
      </w:pPr>
    </w:p>
    <w:p w:rsidR="00254DA1" w:rsidRPr="00D90843" w:rsidRDefault="00093B5C" w:rsidP="00683D68">
      <w:pPr>
        <w:jc w:val="both"/>
        <w:rPr>
          <w:rFonts w:asciiTheme="minorHAnsi" w:hAnsiTheme="minorHAnsi"/>
        </w:rPr>
      </w:pPr>
      <w:r>
        <w:rPr>
          <w:rFonts w:asciiTheme="minorHAnsi" w:hAnsiTheme="minorHAnsi"/>
          <w:noProof/>
          <w:lang w:val="en-US"/>
        </w:rPr>
        <w:pict>
          <v:roundrect id="_x0000_s1052" style="position:absolute;left:0;text-align:left;margin-left:-24.75pt;margin-top:7.05pt;width:150.55pt;height:23.4pt;z-index:-251650048" arcsize="10923f">
            <v:shadow on="t" offset="3pt" offset2="2pt"/>
            <v:textbox style="mso-next-textbox:#_x0000_s1052">
              <w:txbxContent>
                <w:p w:rsidR="00BC3AD8" w:rsidRDefault="00BC3AD8">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3F6F40" w:rsidRDefault="003F6F40" w:rsidP="00D90843">
      <w:pPr>
        <w:rPr>
          <w:rFonts w:asciiTheme="minorHAnsi" w:hAnsiTheme="minorHAnsi"/>
        </w:rPr>
      </w:pPr>
    </w:p>
    <w:p w:rsidR="00C97D66" w:rsidRDefault="00C97D66" w:rsidP="00D90843">
      <w:pPr>
        <w:rPr>
          <w:rFonts w:asciiTheme="minorHAnsi" w:hAnsiTheme="minorHAnsi"/>
        </w:rPr>
      </w:pPr>
    </w:p>
    <w:p w:rsidR="00D90843" w:rsidRDefault="00D90843">
      <w:pPr>
        <w:sectPr w:rsidR="00D90843" w:rsidSect="0030575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36"/>
      </w:tblGrid>
      <w:tr w:rsidR="00305756" w:rsidTr="006F0DD1">
        <w:tc>
          <w:tcPr>
            <w:tcW w:w="1980" w:type="dxa"/>
          </w:tcPr>
          <w:p w:rsidR="00305756" w:rsidRDefault="00305756" w:rsidP="006F0DD1">
            <w:r>
              <w:rPr>
                <w:noProof/>
                <w:lang w:val="en-US"/>
              </w:rPr>
              <w:lastRenderedPageBreak/>
              <w:drawing>
                <wp:inline distT="0" distB="0" distL="0" distR="0">
                  <wp:extent cx="806450" cy="1028700"/>
                  <wp:effectExtent l="0" t="0" r="0" b="0"/>
                  <wp:docPr id="3"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0" cy="1028700"/>
                          </a:xfrm>
                          <a:prstGeom prst="rect">
                            <a:avLst/>
                          </a:prstGeom>
                          <a:noFill/>
                          <a:ln>
                            <a:noFill/>
                          </a:ln>
                        </pic:spPr>
                      </pic:pic>
                    </a:graphicData>
                  </a:graphic>
                </wp:inline>
              </w:drawing>
            </w:r>
          </w:p>
        </w:tc>
        <w:tc>
          <w:tcPr>
            <w:tcW w:w="7036" w:type="dxa"/>
            <w:vAlign w:val="center"/>
          </w:tcPr>
          <w:p w:rsidR="00305756" w:rsidRPr="00B36090" w:rsidRDefault="00305756" w:rsidP="006F0DD1">
            <w:pPr>
              <w:rPr>
                <w:rFonts w:ascii="Segoe UI Semibold" w:hAnsi="Segoe UI Semibold" w:cs="Segoe UI Semilight"/>
                <w:b/>
                <w:sz w:val="24"/>
              </w:rPr>
            </w:pPr>
            <w:r>
              <w:rPr>
                <w:rFonts w:ascii="Segoe UI Semibold" w:hAnsi="Segoe UI Semibold" w:cs="Segoe UI Semilight"/>
                <w:b/>
                <w:sz w:val="24"/>
              </w:rPr>
              <w:t>ANDREW TAN LYN SAN</w:t>
            </w:r>
          </w:p>
          <w:p w:rsidR="00305756" w:rsidRPr="00B36090" w:rsidRDefault="00305756" w:rsidP="006F0DD1">
            <w:pPr>
              <w:rPr>
                <w:rFonts w:ascii="Segoe UI Semilight" w:hAnsi="Segoe UI Semilight" w:cs="Segoe UI Semilight"/>
                <w:b/>
              </w:rPr>
            </w:pPr>
            <w:r>
              <w:rPr>
                <w:rFonts w:ascii="Segoe UI Semibold" w:hAnsi="Segoe UI Semibold"/>
                <w:b/>
              </w:rPr>
              <w:t>MA in Education, UNISEL</w:t>
            </w:r>
          </w:p>
        </w:tc>
      </w:tr>
    </w:tbl>
    <w:p w:rsidR="00BC3AD8" w:rsidRDefault="00BC3AD8" w:rsidP="00305756">
      <w:pPr>
        <w:rPr>
          <w:rFonts w:asciiTheme="majorHAnsi" w:hAnsiTheme="majorHAnsi"/>
          <w:sz w:val="28"/>
          <w:szCs w:val="28"/>
          <w:u w:val="single"/>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 xml:space="preserve">Mr. Andrew Tan Lyn San, is a Fellow member of the Association of Chartered Certified Accountants (ACCA) of UK, a Chartered Accountant registered with the Malaysian Institute of Accountants (MIA) and a member of the Malaysian Institute of Certified Public Accountants (MICPA). He holds a Master in Education majoring in leadership management. </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He has over 20 years of working experience in public practice and commercial industries. He started his career and was trained with KPMG in Singapore in audit and consultancy and as Senior Accountant with SITA Group, a French MNC based in Singapore until he decided to return to Malaysia at the end of 2000.</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Upon returning to Malaysia, he took up the position as Finance Manager with a manufacturing company of thermal insulation materials used mainly in the Heating, Ventilation, Air Conditioning and Refrigeration of residential, commercial and industrial buildings. He managed all the financial and accounting matters to support the business and operational requirements of the company in meeting its objectives and financial target.</w:t>
      </w:r>
    </w:p>
    <w:p w:rsidR="00305756" w:rsidRPr="00305756" w:rsidRDefault="00305756" w:rsidP="00305756">
      <w:pPr>
        <w:tabs>
          <w:tab w:val="left" w:pos="639"/>
        </w:tabs>
        <w:jc w:val="both"/>
        <w:rPr>
          <w:rFonts w:asciiTheme="minorHAnsi" w:hAnsiTheme="minorHAnsi" w:cstheme="minorHAnsi"/>
        </w:rPr>
      </w:pPr>
      <w:r w:rsidRPr="00305756">
        <w:rPr>
          <w:rFonts w:asciiTheme="minorHAnsi" w:hAnsiTheme="minorHAnsi" w:cstheme="minorHAnsi"/>
        </w:rPr>
        <w:tab/>
      </w: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He was transferred to the holdings company which is listed at the main market and was repositioned as Executive Director. His primary responsibility is to ensure timely submission on consolidated quarterly financial reports, prepare the Annual Reports for AGM and assist in corporate finance and management.</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rPr>
          <w:rFonts w:asciiTheme="minorHAnsi" w:hAnsiTheme="minorHAnsi" w:cstheme="minorHAnsi"/>
          <w:sz w:val="28"/>
          <w:szCs w:val="28"/>
          <w:u w:val="single"/>
        </w:rPr>
      </w:pPr>
      <w:r w:rsidRPr="00305756">
        <w:rPr>
          <w:rFonts w:asciiTheme="minorHAnsi" w:hAnsiTheme="minorHAnsi" w:cstheme="minorHAnsi"/>
        </w:rPr>
        <w:t xml:space="preserve">Currently, Mr. Tan is teaching at local university on corporate financial reporting and corporate governance subjects.   </w:t>
      </w: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86132E" w:rsidRDefault="0086132E" w:rsidP="00D35263">
      <w:pPr>
        <w:jc w:val="center"/>
        <w:rPr>
          <w:rFonts w:asciiTheme="majorHAnsi" w:hAnsiTheme="majorHAnsi"/>
          <w:sz w:val="28"/>
          <w:szCs w:val="28"/>
          <w:u w:val="single"/>
        </w:rPr>
      </w:pPr>
    </w:p>
    <w:p w:rsidR="0086132E" w:rsidRDefault="0086132E"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6807E9" w:rsidRDefault="00C97D66" w:rsidP="000D57B6">
      <w:pPr>
        <w:jc w:val="center"/>
        <w:rPr>
          <w:rFonts w:asciiTheme="majorHAnsi" w:eastAsiaTheme="majorEastAsia" w:hAnsiTheme="majorHAnsi" w:cstheme="majorBidi"/>
          <w:b/>
          <w:bCs/>
          <w:color w:val="365F91" w:themeColor="accent1" w:themeShade="BF"/>
          <w:sz w:val="36"/>
          <w:szCs w:val="36"/>
        </w:rPr>
      </w:pPr>
      <w:r w:rsidRPr="00C97D66">
        <w:rPr>
          <w:rFonts w:asciiTheme="majorHAnsi" w:eastAsiaTheme="majorEastAsia" w:hAnsiTheme="majorHAnsi" w:cstheme="majorBidi"/>
          <w:b/>
          <w:bCs/>
          <w:color w:val="365F91" w:themeColor="accent1" w:themeShade="BF"/>
          <w:sz w:val="36"/>
          <w:szCs w:val="36"/>
        </w:rPr>
        <w:t>The Inside Story Of The Annual Report: What Directors Must Know</w:t>
      </w:r>
      <w:r w:rsidR="003B0EDD">
        <w:rPr>
          <w:rFonts w:asciiTheme="majorHAnsi" w:eastAsiaTheme="majorEastAsia" w:hAnsiTheme="majorHAnsi" w:cstheme="majorBidi"/>
          <w:b/>
          <w:bCs/>
          <w:color w:val="365F91" w:themeColor="accent1" w:themeShade="BF"/>
          <w:sz w:val="36"/>
          <w:szCs w:val="36"/>
        </w:rPr>
        <w:t xml:space="preserve"> (p.m.)</w:t>
      </w:r>
    </w:p>
    <w:p w:rsidR="000D57B6" w:rsidRDefault="003B0EDD" w:rsidP="000D57B6">
      <w:pPr>
        <w:jc w:val="center"/>
        <w:rPr>
          <w:rFonts w:asciiTheme="minorHAnsi" w:hAnsiTheme="minorHAnsi"/>
          <w:sz w:val="24"/>
          <w:szCs w:val="24"/>
        </w:rPr>
      </w:pPr>
      <w:r>
        <w:rPr>
          <w:rFonts w:asciiTheme="minorHAnsi" w:hAnsiTheme="minorHAnsi"/>
          <w:sz w:val="24"/>
          <w:szCs w:val="24"/>
        </w:rPr>
        <w:t>13</w:t>
      </w:r>
      <w:r w:rsidR="000D57B6">
        <w:rPr>
          <w:rFonts w:asciiTheme="minorHAnsi" w:hAnsiTheme="minorHAnsi"/>
          <w:sz w:val="24"/>
          <w:szCs w:val="24"/>
        </w:rPr>
        <w:t>00 – 1</w:t>
      </w:r>
      <w:r>
        <w:rPr>
          <w:rFonts w:asciiTheme="minorHAnsi" w:hAnsiTheme="minorHAnsi"/>
          <w:sz w:val="24"/>
          <w:szCs w:val="24"/>
        </w:rPr>
        <w:t>7</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653C28" w:rsidRDefault="00093B5C">
      <w:pPr>
        <w:rPr>
          <w:rFonts w:asciiTheme="minorHAnsi" w:hAnsiTheme="minorHAnsi"/>
          <w:b/>
          <w:bCs/>
          <w:i/>
          <w:iCs/>
          <w:sz w:val="24"/>
          <w:szCs w:val="24"/>
        </w:rPr>
      </w:pPr>
      <w:r w:rsidRPr="00093B5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r w:rsidR="00653C28">
        <w:rPr>
          <w:rFonts w:asciiTheme="minorHAnsi" w:hAnsiTheme="minorHAnsi"/>
          <w:sz w:val="24"/>
          <w:szCs w:val="24"/>
        </w:rPr>
        <w:t xml:space="preserve"> </w:t>
      </w:r>
      <w:r w:rsidR="00653C28">
        <w:rPr>
          <w:rFonts w:asciiTheme="minorHAnsi" w:hAnsiTheme="minorHAnsi"/>
          <w:b/>
          <w:bCs/>
          <w:i/>
          <w:iCs/>
          <w:sz w:val="24"/>
          <w:szCs w:val="24"/>
        </w:rPr>
        <w:t>(</w:t>
      </w:r>
      <w:r w:rsidR="00D30CD7">
        <w:rPr>
          <w:rFonts w:asciiTheme="minorHAnsi" w:hAnsiTheme="minorHAnsi"/>
          <w:b/>
          <w:bCs/>
          <w:i/>
          <w:iCs/>
          <w:sz w:val="24"/>
          <w:szCs w:val="24"/>
        </w:rPr>
        <w:t xml:space="preserve">YEAR </w:t>
      </w:r>
      <w:r w:rsidR="00653C28">
        <w:rPr>
          <w:rFonts w:asciiTheme="minorHAnsi" w:hAnsiTheme="minorHAnsi"/>
          <w:b/>
          <w:bCs/>
          <w:i/>
          <w:iCs/>
          <w:sz w:val="24"/>
          <w:szCs w:val="24"/>
        </w:rPr>
        <w:t>2017)</w:t>
      </w:r>
    </w:p>
    <w:p w:rsidR="004E6547" w:rsidRPr="0041440F" w:rsidRDefault="004E6547">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8"/>
        <w:gridCol w:w="1848"/>
        <w:gridCol w:w="1848"/>
        <w:gridCol w:w="1849"/>
        <w:gridCol w:w="1849"/>
      </w:tblGrid>
      <w:tr w:rsidR="0041440F" w:rsidTr="0086132E">
        <w:trPr>
          <w:trHeight w:val="432"/>
        </w:trPr>
        <w:tc>
          <w:tcPr>
            <w:tcW w:w="1848" w:type="dxa"/>
          </w:tcPr>
          <w:p w:rsidR="0041440F" w:rsidRDefault="0041440F" w:rsidP="0041440F">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22 FEB</w:t>
            </w:r>
          </w:p>
        </w:tc>
        <w:tc>
          <w:tcPr>
            <w:tcW w:w="1848" w:type="dxa"/>
          </w:tcPr>
          <w:p w:rsidR="0041440F" w:rsidRDefault="0041440F" w:rsidP="0041440F">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22 MAR</w:t>
            </w:r>
          </w:p>
        </w:tc>
        <w:tc>
          <w:tcPr>
            <w:tcW w:w="1848" w:type="dxa"/>
          </w:tcPr>
          <w:p w:rsidR="0041440F" w:rsidRDefault="0041440F" w:rsidP="0041440F">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sidR="0086132E">
              <w:rPr>
                <w:rFonts w:asciiTheme="minorHAnsi" w:hAnsiTheme="minorHAnsi" w:cstheme="minorHAnsi"/>
                <w:sz w:val="22"/>
              </w:rPr>
              <w:t xml:space="preserve">  10</w:t>
            </w:r>
            <w:r>
              <w:rPr>
                <w:rFonts w:asciiTheme="minorHAnsi" w:hAnsiTheme="minorHAnsi" w:cstheme="minorHAnsi"/>
                <w:sz w:val="22"/>
              </w:rPr>
              <w:t xml:space="preserve"> APR</w:t>
            </w:r>
          </w:p>
        </w:tc>
        <w:tc>
          <w:tcPr>
            <w:tcW w:w="1849" w:type="dxa"/>
          </w:tcPr>
          <w:p w:rsidR="0041440F" w:rsidRDefault="0041440F" w:rsidP="0041440F">
            <w:pPr>
              <w:pStyle w:val="Heading2"/>
              <w:jc w:val="left"/>
              <w:outlineLvl w:val="1"/>
              <w:rPr>
                <w:rFonts w:asciiTheme="minorHAnsi" w:hAnsiTheme="minorHAnsi" w:cstheme="minorHAnsi"/>
                <w:sz w:val="22"/>
              </w:rPr>
            </w:pPr>
          </w:p>
        </w:tc>
        <w:tc>
          <w:tcPr>
            <w:tcW w:w="1849" w:type="dxa"/>
          </w:tcPr>
          <w:p w:rsidR="0041440F" w:rsidRDefault="0041440F" w:rsidP="0041440F">
            <w:pPr>
              <w:pStyle w:val="Heading2"/>
              <w:jc w:val="left"/>
              <w:outlineLvl w:val="1"/>
              <w:rPr>
                <w:rFonts w:asciiTheme="minorHAnsi" w:hAnsiTheme="minorHAnsi" w:cstheme="minorHAnsi"/>
                <w:sz w:val="22"/>
              </w:rPr>
            </w:pPr>
          </w:p>
        </w:tc>
      </w:tr>
      <w:tr w:rsidR="0086132E" w:rsidTr="0086132E">
        <w:trPr>
          <w:trHeight w:val="432"/>
        </w:trPr>
        <w:tc>
          <w:tcPr>
            <w:tcW w:w="1848" w:type="dxa"/>
          </w:tcPr>
          <w:p w:rsidR="0086132E" w:rsidRDefault="0086132E" w:rsidP="0041440F">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24 APR</w:t>
            </w:r>
          </w:p>
        </w:tc>
        <w:tc>
          <w:tcPr>
            <w:tcW w:w="1848" w:type="dxa"/>
          </w:tcPr>
          <w:p w:rsidR="0086132E" w:rsidRDefault="0086132E" w:rsidP="0041440F">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15 MAY</w:t>
            </w:r>
          </w:p>
        </w:tc>
        <w:tc>
          <w:tcPr>
            <w:tcW w:w="1848" w:type="dxa"/>
          </w:tcPr>
          <w:p w:rsidR="0086132E" w:rsidRDefault="0086132E" w:rsidP="0041440F">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13 JUN</w:t>
            </w:r>
          </w:p>
        </w:tc>
        <w:tc>
          <w:tcPr>
            <w:tcW w:w="1849" w:type="dxa"/>
          </w:tcPr>
          <w:p w:rsidR="0086132E" w:rsidRDefault="0086132E" w:rsidP="0041440F">
            <w:pPr>
              <w:pStyle w:val="Heading2"/>
              <w:jc w:val="left"/>
              <w:outlineLvl w:val="1"/>
              <w:rPr>
                <w:rFonts w:asciiTheme="minorHAnsi" w:hAnsiTheme="minorHAnsi" w:cstheme="minorHAnsi"/>
                <w:sz w:val="22"/>
              </w:rPr>
            </w:pPr>
          </w:p>
        </w:tc>
        <w:tc>
          <w:tcPr>
            <w:tcW w:w="1849" w:type="dxa"/>
          </w:tcPr>
          <w:p w:rsidR="0086132E" w:rsidRDefault="0086132E" w:rsidP="0041440F">
            <w:pPr>
              <w:pStyle w:val="Heading2"/>
              <w:jc w:val="left"/>
              <w:outlineLvl w:val="1"/>
              <w:rPr>
                <w:rFonts w:asciiTheme="minorHAnsi" w:hAnsiTheme="minorHAnsi" w:cstheme="minorHAnsi"/>
                <w:sz w:val="22"/>
              </w:rPr>
            </w:pPr>
          </w:p>
        </w:tc>
      </w:tr>
    </w:tbl>
    <w:p w:rsidR="004E6547" w:rsidRPr="0041440F" w:rsidRDefault="00093B5C" w:rsidP="00E76169">
      <w:pPr>
        <w:rPr>
          <w:rFonts w:asciiTheme="minorHAnsi" w:hAnsiTheme="minorHAnsi" w:cstheme="minorHAnsi"/>
          <w:szCs w:val="22"/>
        </w:rPr>
      </w:pPr>
      <w:r w:rsidRPr="00093B5C">
        <w:rPr>
          <w:rFonts w:asciiTheme="minorHAnsi" w:hAnsiTheme="minorHAnsi" w:cstheme="minorHAnsi"/>
          <w:noProof/>
          <w:color w:val="548DD4" w:themeColor="text2" w:themeTint="99"/>
          <w:szCs w:val="22"/>
          <w:lang w:val="en-US"/>
        </w:rPr>
        <w:pict>
          <v:shape id="_x0000_s1057" type="#_x0000_t55" style="position:absolute;margin-left:-17.8pt;margin-top:12.5pt;width:11.05pt;height:16.85pt;z-index:251656192;mso-position-horizontal-relative:text;mso-position-vertical-relative:text"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C664A" w:rsidRDefault="00093B5C"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TO REGISTER,</w:t>
      </w:r>
    </w:p>
    <w:p w:rsidR="00EC664A"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 03-7958 8001 / 03-7958 8002 OR</w:t>
      </w:r>
    </w:p>
    <w:p w:rsidR="00EC664A"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EC664A">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E-MAIL TO: sophiah@bursatra.com.my</w:t>
      </w:r>
    </w:p>
    <w:p w:rsidR="00165397" w:rsidRPr="00C97D66" w:rsidRDefault="00093B5C" w:rsidP="00C97D66">
      <w:pPr>
        <w:jc w:val="center"/>
        <w:rPr>
          <w:rFonts w:asciiTheme="minorHAnsi" w:hAnsiTheme="minorHAnsi"/>
          <w:noProof/>
          <w:color w:val="548DD4" w:themeColor="text2" w:themeTint="99"/>
          <w:sz w:val="24"/>
          <w:szCs w:val="24"/>
          <w:lang w:val="en-US"/>
        </w:rPr>
      </w:pPr>
      <w:r w:rsidRPr="00093B5C">
        <w:rPr>
          <w:rFonts w:asciiTheme="minorHAnsi" w:hAnsiTheme="minorHAnsi"/>
          <w:noProof/>
          <w:sz w:val="24"/>
          <w:szCs w:val="24"/>
          <w:lang w:val="en-US"/>
        </w:rPr>
        <w:pict>
          <v:roundrect id="_x0000_s1127" style="position:absolute;left:0;text-align:left;margin-left:20.5pt;margin-top:10.15pt;width:430pt;height:51.75pt;z-index:251742208" arcsize="10923f" fillcolor="white [3201]" strokecolor="#f79646 [3209]" strokeweight="2.5pt">
            <v:shadow color="#868686"/>
            <v:textbox style="mso-next-textbox:#_x0000_s1127">
              <w:txbxContent>
                <w:p w:rsidR="00254DA1" w:rsidRPr="00254DA1" w:rsidRDefault="00254DA1" w:rsidP="00165397">
                  <w:pPr>
                    <w:ind w:left="284"/>
                    <w:jc w:val="center"/>
                    <w:rPr>
                      <w:rFonts w:asciiTheme="minorHAnsi" w:hAnsiTheme="minorHAnsi"/>
                      <w:i/>
                      <w:sz w:val="20"/>
                    </w:rPr>
                  </w:pPr>
                  <w:r w:rsidRPr="00254DA1">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54DA1" w:rsidRPr="00254DA1" w:rsidRDefault="00254DA1" w:rsidP="00165397">
                  <w:pPr>
                    <w:jc w:val="center"/>
                    <w:rPr>
                      <w:sz w:val="20"/>
                    </w:rPr>
                  </w:pPr>
                </w:p>
              </w:txbxContent>
            </v:textbox>
          </v:roundrect>
        </w:pict>
      </w:r>
    </w:p>
    <w:p w:rsidR="00E76169" w:rsidRDefault="00E76169"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Pr="00165397" w:rsidRDefault="00165397" w:rsidP="00165397">
      <w:pPr>
        <w:jc w:val="center"/>
        <w:rPr>
          <w:rFonts w:asciiTheme="minorHAnsi" w:hAnsiTheme="minorHAnsi"/>
          <w:sz w:val="20"/>
        </w:rPr>
      </w:pPr>
      <w:r w:rsidRPr="00165397">
        <w:rPr>
          <w:rFonts w:asciiTheme="minorHAnsi" w:hAnsiTheme="minorHAnsi"/>
          <w:sz w:val="20"/>
        </w:rPr>
        <w:t>BURSATRA SDN BHD IS A REGISTERED TRAINING PROVIDER WITH PSMB (Reg. No: 520353-U)</w:t>
      </w:r>
    </w:p>
    <w:p w:rsidR="00254DA1" w:rsidRPr="00E76169" w:rsidRDefault="00254DA1" w:rsidP="00E76169">
      <w:pPr>
        <w:jc w:val="center"/>
        <w:rPr>
          <w:rFonts w:asciiTheme="minorHAnsi" w:hAnsiTheme="minorHAnsi"/>
          <w:sz w:val="24"/>
          <w:szCs w:val="24"/>
        </w:rPr>
      </w:pPr>
    </w:p>
    <w:sectPr w:rsidR="00254DA1" w:rsidRPr="00E76169" w:rsidSect="0041440F">
      <w:type w:val="continuous"/>
      <w:pgSz w:w="11906" w:h="16838" w:code="9"/>
      <w:pgMar w:top="115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26F" w:rsidRDefault="0040726F">
      <w:r>
        <w:separator/>
      </w:r>
    </w:p>
  </w:endnote>
  <w:endnote w:type="continuationSeparator" w:id="1">
    <w:p w:rsidR="0040726F" w:rsidRDefault="004072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26F" w:rsidRDefault="0040726F">
      <w:r>
        <w:separator/>
      </w:r>
    </w:p>
  </w:footnote>
  <w:footnote w:type="continuationSeparator" w:id="1">
    <w:p w:rsidR="0040726F" w:rsidRDefault="00407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093B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093B5C" w:rsidP="00C24690">
    <w:pPr>
      <w:pStyle w:val="Heading5"/>
      <w:ind w:left="-810" w:hanging="90"/>
      <w:rPr>
        <w:rFonts w:ascii="Century Gothic" w:hAnsi="Century Gothic"/>
        <w:i w:val="0"/>
        <w:iCs/>
        <w:sz w:val="24"/>
        <w:szCs w:val="24"/>
      </w:rPr>
    </w:pPr>
    <w:r w:rsidRPr="00093B5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093B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5842">
      <o:colormru v:ext="edit" colors="#eaeaea,aqua,#ffb9b9"/>
      <o:colormenu v:ext="edit" fillcolor="#ffb9b9" strokecolor="none" shadow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15C7"/>
    <w:rsid w:val="000326D8"/>
    <w:rsid w:val="0005161D"/>
    <w:rsid w:val="00052E16"/>
    <w:rsid w:val="0005342B"/>
    <w:rsid w:val="000552B0"/>
    <w:rsid w:val="00062A25"/>
    <w:rsid w:val="0007186D"/>
    <w:rsid w:val="00075DF3"/>
    <w:rsid w:val="00081B8C"/>
    <w:rsid w:val="00082CA1"/>
    <w:rsid w:val="00093A93"/>
    <w:rsid w:val="00093B5C"/>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027"/>
    <w:rsid w:val="001215E3"/>
    <w:rsid w:val="00133138"/>
    <w:rsid w:val="0013504A"/>
    <w:rsid w:val="001361FB"/>
    <w:rsid w:val="00136C30"/>
    <w:rsid w:val="00137940"/>
    <w:rsid w:val="00141FD8"/>
    <w:rsid w:val="001425E0"/>
    <w:rsid w:val="00147163"/>
    <w:rsid w:val="001477AC"/>
    <w:rsid w:val="00154BFB"/>
    <w:rsid w:val="00162472"/>
    <w:rsid w:val="00165397"/>
    <w:rsid w:val="00166D1E"/>
    <w:rsid w:val="00173979"/>
    <w:rsid w:val="001836DC"/>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263CF"/>
    <w:rsid w:val="0024105E"/>
    <w:rsid w:val="002473F6"/>
    <w:rsid w:val="002513A9"/>
    <w:rsid w:val="00254A86"/>
    <w:rsid w:val="00254DA1"/>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B7BA3"/>
    <w:rsid w:val="002C286F"/>
    <w:rsid w:val="002D152D"/>
    <w:rsid w:val="002D40CE"/>
    <w:rsid w:val="002D76A9"/>
    <w:rsid w:val="002E6DF0"/>
    <w:rsid w:val="002E6DF1"/>
    <w:rsid w:val="002F32AA"/>
    <w:rsid w:val="002F4859"/>
    <w:rsid w:val="002F5657"/>
    <w:rsid w:val="002F629E"/>
    <w:rsid w:val="002F679A"/>
    <w:rsid w:val="00305756"/>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7382"/>
    <w:rsid w:val="003B0EDD"/>
    <w:rsid w:val="003B0F4B"/>
    <w:rsid w:val="003B3940"/>
    <w:rsid w:val="003B49DF"/>
    <w:rsid w:val="003C4202"/>
    <w:rsid w:val="003E086B"/>
    <w:rsid w:val="003E2AB7"/>
    <w:rsid w:val="003F3712"/>
    <w:rsid w:val="003F3F58"/>
    <w:rsid w:val="003F41F3"/>
    <w:rsid w:val="003F681A"/>
    <w:rsid w:val="003F6F40"/>
    <w:rsid w:val="003F7192"/>
    <w:rsid w:val="004032DA"/>
    <w:rsid w:val="004045C8"/>
    <w:rsid w:val="0040695E"/>
    <w:rsid w:val="0040726F"/>
    <w:rsid w:val="00410606"/>
    <w:rsid w:val="00410B3A"/>
    <w:rsid w:val="0041440F"/>
    <w:rsid w:val="00414805"/>
    <w:rsid w:val="00443702"/>
    <w:rsid w:val="0044426B"/>
    <w:rsid w:val="004458E8"/>
    <w:rsid w:val="00445F40"/>
    <w:rsid w:val="004531DD"/>
    <w:rsid w:val="0045628D"/>
    <w:rsid w:val="004646C8"/>
    <w:rsid w:val="00465B4F"/>
    <w:rsid w:val="00480037"/>
    <w:rsid w:val="00480CCF"/>
    <w:rsid w:val="00481A04"/>
    <w:rsid w:val="00483525"/>
    <w:rsid w:val="00485AC7"/>
    <w:rsid w:val="004927E5"/>
    <w:rsid w:val="00494F68"/>
    <w:rsid w:val="00495E8E"/>
    <w:rsid w:val="004A3CE9"/>
    <w:rsid w:val="004A4988"/>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56BC"/>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5C3F"/>
    <w:rsid w:val="00646440"/>
    <w:rsid w:val="00646582"/>
    <w:rsid w:val="006479E6"/>
    <w:rsid w:val="006504C0"/>
    <w:rsid w:val="00650566"/>
    <w:rsid w:val="00653C28"/>
    <w:rsid w:val="00660E13"/>
    <w:rsid w:val="00662851"/>
    <w:rsid w:val="0066434D"/>
    <w:rsid w:val="00670C30"/>
    <w:rsid w:val="0067124E"/>
    <w:rsid w:val="00671D35"/>
    <w:rsid w:val="00672847"/>
    <w:rsid w:val="00675E1C"/>
    <w:rsid w:val="0067733A"/>
    <w:rsid w:val="006807E9"/>
    <w:rsid w:val="00683D68"/>
    <w:rsid w:val="00687724"/>
    <w:rsid w:val="00690B6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9258D"/>
    <w:rsid w:val="007A0934"/>
    <w:rsid w:val="007A38E3"/>
    <w:rsid w:val="007A60B4"/>
    <w:rsid w:val="007B1067"/>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132E"/>
    <w:rsid w:val="008625D4"/>
    <w:rsid w:val="0087164E"/>
    <w:rsid w:val="00873998"/>
    <w:rsid w:val="00880F11"/>
    <w:rsid w:val="00882E02"/>
    <w:rsid w:val="00885384"/>
    <w:rsid w:val="00886436"/>
    <w:rsid w:val="00893FF6"/>
    <w:rsid w:val="008A36B4"/>
    <w:rsid w:val="008A7D0C"/>
    <w:rsid w:val="008B4D1B"/>
    <w:rsid w:val="008C68AB"/>
    <w:rsid w:val="008C6E67"/>
    <w:rsid w:val="008D3971"/>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75DD9"/>
    <w:rsid w:val="00A80B58"/>
    <w:rsid w:val="00A875B6"/>
    <w:rsid w:val="00A900AF"/>
    <w:rsid w:val="00A91344"/>
    <w:rsid w:val="00A96EDC"/>
    <w:rsid w:val="00AB1B95"/>
    <w:rsid w:val="00AB2E66"/>
    <w:rsid w:val="00AC523C"/>
    <w:rsid w:val="00AD0B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45A9"/>
    <w:rsid w:val="00BA5C3F"/>
    <w:rsid w:val="00BB12F9"/>
    <w:rsid w:val="00BB4BE2"/>
    <w:rsid w:val="00BB7731"/>
    <w:rsid w:val="00BC0823"/>
    <w:rsid w:val="00BC2DCA"/>
    <w:rsid w:val="00BC3AD8"/>
    <w:rsid w:val="00BC79A7"/>
    <w:rsid w:val="00BD365B"/>
    <w:rsid w:val="00BD4DFF"/>
    <w:rsid w:val="00BD6B2C"/>
    <w:rsid w:val="00BE3596"/>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0CD7"/>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A7166"/>
    <w:rsid w:val="00EB1AAF"/>
    <w:rsid w:val="00EC664A"/>
    <w:rsid w:val="00ED5A48"/>
    <w:rsid w:val="00ED6EF6"/>
    <w:rsid w:val="00ED7A69"/>
    <w:rsid w:val="00EE1CC6"/>
    <w:rsid w:val="00EF01DC"/>
    <w:rsid w:val="00EF2CC1"/>
    <w:rsid w:val="00F00607"/>
    <w:rsid w:val="00F0310A"/>
    <w:rsid w:val="00F062B9"/>
    <w:rsid w:val="00F0747F"/>
    <w:rsid w:val="00F0780A"/>
    <w:rsid w:val="00F13F77"/>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colormru v:ext="edit" colors="#eaeaea,aqua,#ffb9b9"/>
      <o:colormenu v:ext="edit" fillcolor="#ffb9b9" strokecolor="none" shadow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uiPriority w:val="39"/>
    <w:rsid w:val="00305756"/>
    <w:rPr>
      <w:rFonts w:asciiTheme="minorHAnsi" w:eastAsiaTheme="minorHAnsi" w:hAnsiTheme="minorHAnsi" w:cstheme="minorBid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5">
    <w:name w:val="Colorful Shading Accent 5"/>
    <w:basedOn w:val="TableNormal"/>
    <w:uiPriority w:val="71"/>
    <w:rsid w:val="0041440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DEE6C-EEA7-49C9-81C8-BA789EB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3767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hp</cp:lastModifiedBy>
  <cp:revision>50</cp:revision>
  <cp:lastPrinted>2017-01-07T10:52:00Z</cp:lastPrinted>
  <dcterms:created xsi:type="dcterms:W3CDTF">2015-07-05T08:41:00Z</dcterms:created>
  <dcterms:modified xsi:type="dcterms:W3CDTF">2017-03-01T17:30:00Z</dcterms:modified>
  <cp:category>CGBP</cp:category>
</cp:coreProperties>
</file>